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31EFD">
      <w:pPr>
        <w:spacing w:line="560" w:lineRule="exact"/>
        <w:rPr>
          <w:rFonts w:hint="eastAsia" w:cs="方正小标宋简体" w:asciiTheme="minorEastAsia" w:hAnsiTheme="minorEastAsia"/>
          <w:sz w:val="44"/>
          <w:szCs w:val="44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1： </w:t>
      </w:r>
    </w:p>
    <w:p w14:paraId="2FD5C039">
      <w:pPr>
        <w:spacing w:line="560" w:lineRule="exact"/>
        <w:jc w:val="center"/>
        <w:rPr>
          <w:rFonts w:hint="eastAsia" w:cs="方正小标宋简体" w:asciiTheme="minorEastAsia" w:hAnsiTheme="minorEastAsia" w:eastAsiaTheme="minorEastAsia"/>
          <w:sz w:val="44"/>
          <w:szCs w:val="44"/>
          <w:lang w:eastAsia="zh-CN"/>
        </w:rPr>
      </w:pPr>
      <w:r>
        <w:rPr>
          <w:rFonts w:hint="eastAsia" w:cs="方正小标宋简体" w:asciiTheme="minorEastAsia" w:hAnsiTheme="minorEastAsia"/>
          <w:sz w:val="32"/>
          <w:szCs w:val="32"/>
          <w:lang w:eastAsia="zh-CN"/>
        </w:rPr>
        <w:t>泸县云龙镇2025年中央财政以工代赈</w:t>
      </w:r>
    </w:p>
    <w:tbl>
      <w:tblPr>
        <w:tblStyle w:val="5"/>
        <w:tblpPr w:leftFromText="180" w:rightFromText="180" w:vertAnchor="text" w:horzAnchor="margin" w:tblpY="714"/>
        <w:tblOverlap w:val="never"/>
        <w:tblW w:w="934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7"/>
        <w:gridCol w:w="874"/>
        <w:gridCol w:w="1005"/>
        <w:gridCol w:w="780"/>
        <w:gridCol w:w="885"/>
        <w:gridCol w:w="1020"/>
        <w:gridCol w:w="900"/>
        <w:gridCol w:w="840"/>
        <w:gridCol w:w="851"/>
        <w:gridCol w:w="852"/>
      </w:tblGrid>
      <w:tr w14:paraId="427768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exact"/>
        </w:trPr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287E399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报价时间</w:t>
            </w:r>
          </w:p>
        </w:tc>
        <w:tc>
          <w:tcPr>
            <w:tcW w:w="265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0DE8BF0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9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3BDF15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报价单位</w:t>
            </w:r>
          </w:p>
        </w:tc>
        <w:tc>
          <w:tcPr>
            <w:tcW w:w="344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CABD5E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 w14:paraId="2EEAB6E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exact"/>
        </w:trPr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215D557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联系人</w:t>
            </w:r>
          </w:p>
        </w:tc>
        <w:tc>
          <w:tcPr>
            <w:tcW w:w="265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A8D49AB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9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30CEBD9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联系电话</w:t>
            </w:r>
          </w:p>
        </w:tc>
        <w:tc>
          <w:tcPr>
            <w:tcW w:w="344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2B524F8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 w14:paraId="51DA52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exact"/>
        </w:trPr>
        <w:tc>
          <w:tcPr>
            <w:tcW w:w="9344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01B3474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采购类别</w:t>
            </w:r>
          </w:p>
        </w:tc>
      </w:tr>
      <w:tr w14:paraId="7CA6C3F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13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5A45E8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材料名称</w:t>
            </w:r>
          </w:p>
        </w:tc>
        <w:tc>
          <w:tcPr>
            <w:tcW w:w="87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C4E6368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规格</w:t>
            </w:r>
          </w:p>
          <w:p w14:paraId="33CBCD01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型号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6AF0100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预估</w:t>
            </w:r>
          </w:p>
        </w:tc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7E6717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单位</w:t>
            </w:r>
          </w:p>
        </w:tc>
        <w:tc>
          <w:tcPr>
            <w:tcW w:w="364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6C35CD5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报价单价（元）</w:t>
            </w:r>
          </w:p>
        </w:tc>
        <w:tc>
          <w:tcPr>
            <w:tcW w:w="85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7289A87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总价（元）</w:t>
            </w:r>
          </w:p>
        </w:tc>
        <w:tc>
          <w:tcPr>
            <w:tcW w:w="85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E349C8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备注</w:t>
            </w:r>
          </w:p>
        </w:tc>
      </w:tr>
      <w:tr w14:paraId="17A4A6D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exact"/>
        </w:trPr>
        <w:tc>
          <w:tcPr>
            <w:tcW w:w="13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B1368C"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7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C3C3DD"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E62057A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数量</w:t>
            </w:r>
          </w:p>
        </w:tc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0A28C63"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F557E6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出厂价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A9BEFA3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运输费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79DE54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人工费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83320CE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小计</w:t>
            </w:r>
          </w:p>
        </w:tc>
        <w:tc>
          <w:tcPr>
            <w:tcW w:w="85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D3BA39"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CC47B8"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6A743B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exact"/>
        </w:trPr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bottom"/>
          </w:tcPr>
          <w:p w14:paraId="3117E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砂</w:t>
            </w:r>
          </w:p>
        </w:tc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5C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bottom"/>
          </w:tcPr>
          <w:p w14:paraId="35370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888.91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bottom"/>
          </w:tcPr>
          <w:p w14:paraId="0440B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A11786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  <w:color w:val="FF0000"/>
              </w:rPr>
            </w:pP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806E4E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  <w:color w:val="FF0000"/>
              </w:rPr>
            </w:pP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0C44017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92793D6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82C80C2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0AE259F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 w14:paraId="1907EF3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exact"/>
        </w:trPr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bottom"/>
          </w:tcPr>
          <w:p w14:paraId="353F8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块石、片石</w:t>
            </w:r>
          </w:p>
        </w:tc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A0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bottom"/>
          </w:tcPr>
          <w:p w14:paraId="1E267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545.79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bottom"/>
          </w:tcPr>
          <w:p w14:paraId="4172E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7A05BE9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  <w:color w:val="FF0000"/>
              </w:rPr>
            </w:pP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F22E33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  <w:color w:val="FF0000"/>
              </w:rPr>
            </w:pP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FD7DCF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B9B7C86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24B4B1B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BDF2E45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 w14:paraId="79C5ECD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exact"/>
        </w:trPr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bottom"/>
          </w:tcPr>
          <w:p w14:paraId="0C5D0C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碎石</w:t>
            </w:r>
          </w:p>
        </w:tc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41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bottom"/>
          </w:tcPr>
          <w:p w14:paraId="56DB8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940.29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bottom"/>
          </w:tcPr>
          <w:p w14:paraId="3CAD9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35BD99C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  <w:color w:val="FF0000"/>
              </w:rPr>
            </w:pP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D4C871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  <w:color w:val="FF0000"/>
              </w:rPr>
            </w:pP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55CBDC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4143A8F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3CDC7B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19C001B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 w14:paraId="15224B1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exact"/>
        </w:trPr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bottom"/>
          </w:tcPr>
          <w:p w14:paraId="1FA80F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标砖</w:t>
            </w:r>
          </w:p>
        </w:tc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515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bottom"/>
          </w:tcPr>
          <w:p w14:paraId="383D3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13.93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bottom"/>
          </w:tcPr>
          <w:p w14:paraId="4A57F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千块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A2BDCCA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  <w:color w:val="FF0000"/>
              </w:rPr>
            </w:pP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6993739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  <w:color w:val="FF0000"/>
              </w:rPr>
            </w:pP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6B1334C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2F2B61E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85E3946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3261881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 w14:paraId="1DF2425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exact"/>
        </w:trPr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bottom"/>
          </w:tcPr>
          <w:p w14:paraId="324C4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5718E98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....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D80645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...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A2752E4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...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2AD8E1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hint="default" w:ascii="Times New Roman" w:hAnsi="Times New Roman" w:eastAsia="宋体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lang w:val="en-US" w:eastAsia="zh-CN"/>
              </w:rPr>
              <w:t>...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0544DDF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hint="default" w:ascii="Times New Roman" w:hAnsi="Times New Roman" w:eastAsia="宋体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lang w:val="en-US" w:eastAsia="zh-CN"/>
              </w:rPr>
              <w:t>...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B46D93F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...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184E207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...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BAFD85A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...</w:t>
            </w: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1ED28F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</w:tr>
      <w:tr w14:paraId="5BFB9BA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exact"/>
        </w:trPr>
        <w:tc>
          <w:tcPr>
            <w:tcW w:w="7641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bottom"/>
          </w:tcPr>
          <w:p w14:paraId="24D73329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合计金额：xxx元（大写：xxx）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7126E39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01DE98">
            <w:pPr>
              <w:pStyle w:val="4"/>
              <w:widowControl/>
              <w:spacing w:before="75" w:beforeAutospacing="0" w:after="75" w:afterAutospacing="0" w:line="520" w:lineRule="exact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</w:tr>
      <w:tr w14:paraId="585B4B9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exact"/>
        </w:trPr>
        <w:tc>
          <w:tcPr>
            <w:tcW w:w="1337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 w14:paraId="1D650BF6">
            <w:pPr>
              <w:pStyle w:val="4"/>
              <w:widowControl/>
              <w:spacing w:before="75" w:beforeAutospacing="0" w:after="75" w:afterAutospacing="0" w:line="520" w:lineRule="exact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特别说明</w:t>
            </w:r>
          </w:p>
        </w:tc>
        <w:tc>
          <w:tcPr>
            <w:tcW w:w="8007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364F38">
            <w:pPr>
              <w:pStyle w:val="4"/>
              <w:widowControl/>
              <w:spacing w:before="75" w:beforeAutospacing="0" w:after="75" w:afterAutospacing="0" w:line="520" w:lineRule="exact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采购数量按照最终实际用量结算，具体事宜按照合同约定为准。</w:t>
            </w:r>
          </w:p>
        </w:tc>
      </w:tr>
    </w:tbl>
    <w:p w14:paraId="2CE4DF86">
      <w:pPr>
        <w:spacing w:line="560" w:lineRule="exact"/>
        <w:jc w:val="center"/>
        <w:rPr>
          <w:rFonts w:hint="eastAsia" w:cs="方正小标宋简体" w:asciiTheme="minorEastAsia" w:hAnsiTheme="minorEastAsia"/>
          <w:sz w:val="32"/>
          <w:szCs w:val="32"/>
          <w:lang w:eastAsia="zh-CN"/>
        </w:rPr>
      </w:pPr>
      <w:r>
        <w:rPr>
          <w:rFonts w:hint="eastAsia" w:cs="方正小标宋简体" w:asciiTheme="minorEastAsia" w:hAnsiTheme="minorEastAsia"/>
          <w:sz w:val="32"/>
          <w:szCs w:val="32"/>
          <w:lang w:eastAsia="zh-CN"/>
        </w:rPr>
        <w:t>项目村民自建主材报价表</w:t>
      </w:r>
    </w:p>
    <w:p w14:paraId="2E34E8CA">
      <w:pPr>
        <w:pStyle w:val="4"/>
        <w:spacing w:beforeAutospacing="0" w:afterAutospacing="0" w:line="200" w:lineRule="exact"/>
        <w:jc w:val="both"/>
        <w:rPr>
          <w:rFonts w:ascii="Times New Roman" w:hAnsi="Times New Roman" w:eastAsia="方正仿宋简体"/>
          <w:kern w:val="2"/>
          <w:sz w:val="32"/>
          <w:szCs w:val="32"/>
        </w:rPr>
      </w:pPr>
    </w:p>
    <w:p w14:paraId="3A66E3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-857" w:rightChars="-408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napToGrid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4"/>
          <w:szCs w:val="24"/>
          <w:highlight w:val="none"/>
        </w:rPr>
        <w:t>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4"/>
          <w:szCs w:val="24"/>
          <w:highlight w:val="none"/>
        </w:rPr>
        <w:t>1.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4"/>
          <w:szCs w:val="24"/>
          <w:highlight w:val="none"/>
          <w:lang w:val="en-US" w:eastAsia="zh-CN"/>
        </w:rPr>
        <w:t>材料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4"/>
          <w:szCs w:val="24"/>
          <w:highlight w:val="none"/>
        </w:rPr>
        <w:t>报价应包括完成本项目所需的服务人员和相关工作人员的人工成本、保险、差旅费、资料费、管理费、税金、利润和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完成本项目所需的其他全部费用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4"/>
          <w:szCs w:val="24"/>
          <w:highlight w:val="none"/>
        </w:rPr>
        <w:t>。</w:t>
      </w:r>
    </w:p>
    <w:p w14:paraId="634442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4"/>
          <w:szCs w:val="24"/>
          <w:highlight w:val="none"/>
        </w:rPr>
        <w:t>2.报价最多保留到小数点后两位数。</w:t>
      </w:r>
    </w:p>
    <w:p w14:paraId="46551D4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名称（加盖公章）：</w:t>
      </w:r>
    </w:p>
    <w:p w14:paraId="19DC513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法定代表人或授权代表（签字或加盖个人名章）：</w:t>
      </w:r>
    </w:p>
    <w:p w14:paraId="3CDE1E9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日    期：</w:t>
      </w:r>
    </w:p>
    <w:p w14:paraId="4945FD7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bookmarkStart w:id="0" w:name="_GoBack"/>
      <w:bookmarkEnd w:id="0"/>
    </w:p>
    <w:p w14:paraId="7984DA2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2：</w:t>
      </w:r>
    </w:p>
    <w:p w14:paraId="10852645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/>
        <w:jc w:val="center"/>
        <w:rPr>
          <w:rFonts w:hint="default" w:cs="方正小标宋简体" w:asciiTheme="minorEastAsia" w:hAnsiTheme="minorEastAsia" w:eastAsiaTheme="minorEastAsia"/>
          <w:kern w:val="2"/>
          <w:sz w:val="44"/>
          <w:szCs w:val="44"/>
          <w:lang w:val="en-US" w:eastAsia="zh-CN" w:bidi="ar-SA"/>
        </w:rPr>
      </w:pPr>
      <w:r>
        <w:rPr>
          <w:rFonts w:hint="eastAsia" w:cs="方正小标宋简体" w:asciiTheme="minorEastAsia" w:hAnsiTheme="minorEastAsia"/>
          <w:kern w:val="2"/>
          <w:sz w:val="32"/>
          <w:szCs w:val="32"/>
          <w:lang w:val="en-US" w:eastAsia="zh-CN" w:bidi="ar-SA"/>
        </w:rPr>
        <w:t>主要</w:t>
      </w:r>
      <w:r>
        <w:rPr>
          <w:rFonts w:hint="eastAsia" w:cs="方正小标宋简体" w:asciiTheme="minorEastAsia" w:hAnsiTheme="minorEastAsia" w:eastAsiaTheme="minorEastAsia"/>
          <w:kern w:val="2"/>
          <w:sz w:val="32"/>
          <w:szCs w:val="32"/>
          <w:lang w:val="en-US" w:eastAsia="zh-CN" w:bidi="ar-SA"/>
        </w:rPr>
        <w:t>材料清单及预估数量金额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606"/>
        <w:gridCol w:w="1473"/>
        <w:gridCol w:w="972"/>
        <w:gridCol w:w="1296"/>
        <w:gridCol w:w="1058"/>
        <w:gridCol w:w="1658"/>
      </w:tblGrid>
      <w:tr w14:paraId="5BE60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95F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主要材料采购清单表</w:t>
            </w:r>
          </w:p>
        </w:tc>
      </w:tr>
      <w:tr w14:paraId="7648E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拟需数量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单项限价（元）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总金额（元）</w:t>
            </w:r>
          </w:p>
        </w:tc>
      </w:tr>
      <w:tr w14:paraId="4D05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499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砂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2A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C0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888.91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86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230.00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7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204449.30</w:t>
            </w:r>
          </w:p>
        </w:tc>
      </w:tr>
      <w:tr w14:paraId="7B1E2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FCB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块石、片石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AB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8E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545.79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10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110.00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DE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60036.90</w:t>
            </w:r>
          </w:p>
        </w:tc>
      </w:tr>
      <w:tr w14:paraId="46D9B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3E5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碎石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35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8F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940.29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4A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160.00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D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150446.40</w:t>
            </w:r>
          </w:p>
        </w:tc>
      </w:tr>
      <w:tr w14:paraId="07FB7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E40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标砖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B0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千块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4C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13.93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34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480.00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5D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6686.40</w:t>
            </w:r>
          </w:p>
        </w:tc>
      </w:tr>
      <w:tr w14:paraId="64F10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73E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沥青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58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A0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9B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4900.00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3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10988.25</w:t>
            </w:r>
          </w:p>
        </w:tc>
      </w:tr>
      <w:tr w14:paraId="2D2A2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80F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钢筋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73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0A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0.985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11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4050.00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8E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3989.25</w:t>
            </w:r>
          </w:p>
        </w:tc>
      </w:tr>
      <w:tr w14:paraId="154ED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797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32.5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FC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E3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228279.29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4F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A7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100442.89</w:t>
            </w:r>
          </w:p>
        </w:tc>
      </w:tr>
      <w:tr w14:paraId="68C6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7AE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42.5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99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13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182907.50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0B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72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84137.45</w:t>
            </w:r>
          </w:p>
        </w:tc>
      </w:tr>
      <w:tr w14:paraId="43A86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32C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防渗土工膜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260g/m2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11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57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14396.86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27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3.30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05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47509.64</w:t>
            </w:r>
          </w:p>
        </w:tc>
      </w:tr>
      <w:tr w14:paraId="1CFFD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D35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清条石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MU30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FC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52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1229.86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AC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280.00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99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344360.80</w:t>
            </w:r>
          </w:p>
        </w:tc>
      </w:tr>
      <w:tr w14:paraId="212A7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885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青石板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5cm厚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72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B9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701.87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A1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A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42112.20</w:t>
            </w:r>
          </w:p>
        </w:tc>
      </w:tr>
      <w:tr w14:paraId="23B64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A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C30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191.49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445.00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F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85212.16</w:t>
            </w:r>
          </w:p>
        </w:tc>
      </w:tr>
      <w:tr w14:paraId="06418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6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F8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1140371.64</w:t>
            </w:r>
          </w:p>
        </w:tc>
      </w:tr>
      <w:tr w14:paraId="710AC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C0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注：（1）数量以实际情况为准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（2）材料报价含税费、运输费、上下车费</w:t>
            </w:r>
          </w:p>
        </w:tc>
      </w:tr>
    </w:tbl>
    <w:p w14:paraId="3CEAA408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200" w:right="0" w:right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47D56E90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200" w:right="0" w:right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39BF2D82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200" w:right="0" w:right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6E080FA3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200" w:right="0" w:right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055BE213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200" w:right="0" w:right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23E6BA1A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200" w:right="0" w:right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46333260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200" w:right="0" w:right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058E0C78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200" w:right="0" w:right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2EFAB03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320" w:firstLineChars="100"/>
        <w:jc w:val="both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附件3：</w:t>
      </w:r>
    </w:p>
    <w:p w14:paraId="266BBC2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2560" w:firstLineChars="800"/>
        <w:jc w:val="both"/>
        <w:textAlignment w:val="auto"/>
        <w:rPr>
          <w:rFonts w:hint="default" w:ascii="Times New Roman" w:hAnsi="Times New Roman" w:cs="Times New Roman" w:eastAsiaTheme="maj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 w:eastAsiaTheme="majorEastAsia"/>
          <w:color w:val="auto"/>
          <w:kern w:val="2"/>
          <w:sz w:val="32"/>
          <w:szCs w:val="32"/>
          <w:lang w:val="en-US" w:eastAsia="zh-CN" w:bidi="ar-SA"/>
        </w:rPr>
        <w:t>建筑材料供货商评分细则</w:t>
      </w:r>
    </w:p>
    <w:tbl>
      <w:tblPr>
        <w:tblStyle w:val="5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12"/>
        <w:gridCol w:w="723"/>
        <w:gridCol w:w="5314"/>
        <w:gridCol w:w="790"/>
      </w:tblGrid>
      <w:tr w14:paraId="5229B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99" w:type="dxa"/>
            <w:noWrap w:val="0"/>
            <w:vAlign w:val="center"/>
          </w:tcPr>
          <w:p w14:paraId="332EE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112" w:type="dxa"/>
            <w:noWrap w:val="0"/>
            <w:vAlign w:val="center"/>
          </w:tcPr>
          <w:p w14:paraId="0F25C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评分因素</w:t>
            </w:r>
          </w:p>
        </w:tc>
        <w:tc>
          <w:tcPr>
            <w:tcW w:w="723" w:type="dxa"/>
            <w:noWrap w:val="0"/>
            <w:vAlign w:val="center"/>
          </w:tcPr>
          <w:p w14:paraId="3968D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权重</w:t>
            </w:r>
          </w:p>
        </w:tc>
        <w:tc>
          <w:tcPr>
            <w:tcW w:w="5314" w:type="dxa"/>
            <w:noWrap w:val="0"/>
            <w:vAlign w:val="center"/>
          </w:tcPr>
          <w:p w14:paraId="78869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评分标准</w:t>
            </w:r>
          </w:p>
        </w:tc>
        <w:tc>
          <w:tcPr>
            <w:tcW w:w="790" w:type="dxa"/>
            <w:noWrap w:val="0"/>
            <w:vAlign w:val="center"/>
          </w:tcPr>
          <w:p w14:paraId="3FE72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说  明</w:t>
            </w:r>
          </w:p>
        </w:tc>
      </w:tr>
      <w:tr w14:paraId="71A4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699" w:type="dxa"/>
            <w:noWrap w:val="0"/>
            <w:vAlign w:val="center"/>
          </w:tcPr>
          <w:p w14:paraId="42EC0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12" w:type="dxa"/>
            <w:noWrap w:val="0"/>
            <w:vAlign w:val="center"/>
          </w:tcPr>
          <w:p w14:paraId="130F3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报价</w:t>
            </w:r>
          </w:p>
          <w:p w14:paraId="5D043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3" w:type="dxa"/>
            <w:noWrap w:val="0"/>
            <w:vAlign w:val="center"/>
          </w:tcPr>
          <w:p w14:paraId="315C7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30分</w:t>
            </w:r>
          </w:p>
        </w:tc>
        <w:tc>
          <w:tcPr>
            <w:tcW w:w="5314" w:type="dxa"/>
            <w:noWrap w:val="0"/>
            <w:vAlign w:val="center"/>
          </w:tcPr>
          <w:p w14:paraId="5D22B8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1.当投标人数少于6个（含）时，评审基准价为所有投标报价（或评标价）的算术平均值；</w:t>
            </w:r>
          </w:p>
          <w:p w14:paraId="019398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.当投标人数大于6个（不含）时，评审基准价为去掉最高和最低投标报价（或评标价）后的算术平均值。投标人报价=评审基准价的为满分。投标人报价每高于评标基准价1%的扣1分，每低于评标基准价1%的扣0.5分，计算出投标人的投标报价得分（本项满分30分，扣完30分为止）（评分的取值按四舍五入法，保留小数点后两位。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790" w:type="dxa"/>
            <w:noWrap w:val="0"/>
            <w:vAlign w:val="center"/>
          </w:tcPr>
          <w:p w14:paraId="7002E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8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共同评分因 素</w:t>
            </w:r>
          </w:p>
        </w:tc>
      </w:tr>
      <w:tr w14:paraId="1BB9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699" w:type="dxa"/>
            <w:noWrap w:val="0"/>
            <w:vAlign w:val="center"/>
          </w:tcPr>
          <w:p w14:paraId="665CF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12" w:type="dxa"/>
            <w:noWrap w:val="0"/>
            <w:vAlign w:val="center"/>
          </w:tcPr>
          <w:p w14:paraId="183B0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履约能力</w:t>
            </w:r>
          </w:p>
        </w:tc>
        <w:tc>
          <w:tcPr>
            <w:tcW w:w="723" w:type="dxa"/>
            <w:noWrap w:val="0"/>
            <w:vAlign w:val="center"/>
          </w:tcPr>
          <w:p w14:paraId="4F121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24分</w:t>
            </w:r>
          </w:p>
        </w:tc>
        <w:tc>
          <w:tcPr>
            <w:tcW w:w="5314" w:type="dxa"/>
            <w:noWrap w:val="0"/>
            <w:vAlign w:val="center"/>
          </w:tcPr>
          <w:p w14:paraId="22B5D8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供应商自2022年1月1日至今每具有1个类似项目业绩的得4分，最多得24分。</w:t>
            </w:r>
          </w:p>
          <w:p w14:paraId="3EA63760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注：①类似项目业绩是指：材料销售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（提供材料销售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合同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或送货单或收货方材料签收单）。</w:t>
            </w:r>
          </w:p>
        </w:tc>
        <w:tc>
          <w:tcPr>
            <w:tcW w:w="790" w:type="dxa"/>
            <w:noWrap w:val="0"/>
            <w:vAlign w:val="center"/>
          </w:tcPr>
          <w:p w14:paraId="3D0A9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共同评分因 素</w:t>
            </w:r>
          </w:p>
        </w:tc>
      </w:tr>
      <w:tr w14:paraId="24B59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1" w:hRule="atLeast"/>
        </w:trPr>
        <w:tc>
          <w:tcPr>
            <w:tcW w:w="699" w:type="dxa"/>
            <w:noWrap w:val="0"/>
            <w:vAlign w:val="center"/>
          </w:tcPr>
          <w:p w14:paraId="39A9B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12" w:type="dxa"/>
            <w:noWrap w:val="0"/>
            <w:vAlign w:val="center"/>
          </w:tcPr>
          <w:p w14:paraId="64425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项目实施方案</w:t>
            </w:r>
          </w:p>
          <w:p w14:paraId="26F90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3" w:type="dxa"/>
            <w:noWrap w:val="0"/>
            <w:vAlign w:val="center"/>
          </w:tcPr>
          <w:p w14:paraId="30773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46分</w:t>
            </w:r>
          </w:p>
        </w:tc>
        <w:tc>
          <w:tcPr>
            <w:tcW w:w="5314" w:type="dxa"/>
            <w:noWrap w:val="0"/>
            <w:vAlign w:val="center"/>
          </w:tcPr>
          <w:p w14:paraId="7FEF3EAE">
            <w:pPr>
              <w:pStyle w:val="2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1、根据供应商提供的</w:t>
            </w: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供货方案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进行综合评审。包括但不限于：①</w:t>
            </w: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供货方式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；②</w:t>
            </w: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供货周期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；③</w:t>
            </w: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运输方式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。各项方案齐全</w:t>
            </w: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得满分</w:t>
            </w: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分，每缺一项扣</w:t>
            </w: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分，</w:t>
            </w: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每项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每有一处不合理扣</w:t>
            </w: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2.5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分，</w:t>
            </w: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该项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扣完为止。</w:t>
            </w:r>
          </w:p>
          <w:p w14:paraId="528A44A2">
            <w:pPr>
              <w:pStyle w:val="2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、根据供应商提供的本项目质量保证措施方案进行综合评审，包括但不限于：①材料的检查验收项目及内容；②质量保证体系；③质量管控措施；各项方案齐全</w:t>
            </w: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得满分</w:t>
            </w: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分，每缺一项扣</w:t>
            </w: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分，</w:t>
            </w: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每项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每有一处不合理扣</w:t>
            </w: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2.5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分，</w:t>
            </w: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该项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扣完为止。</w:t>
            </w:r>
          </w:p>
          <w:p w14:paraId="16029899">
            <w:pPr>
              <w:pStyle w:val="2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、根据供应商提供的售后服务方案进行综合评审，包括但不限于：①售后服务机构设置；②售后人员安排；③响应时间安排；④售后服务承诺。各项方案齐全</w:t>
            </w: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得满分</w:t>
            </w: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分，每缺一项扣</w:t>
            </w: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分，</w:t>
            </w: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每项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每有一处不合理扣</w:t>
            </w: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分，</w:t>
            </w: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该项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扣完为止。</w:t>
            </w:r>
          </w:p>
          <w:p w14:paraId="6D2559E2">
            <w:pPr>
              <w:pStyle w:val="2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注：不合理是指：存在项目名称错误、地点区域错误、方案内容与本项目采购内容不符、仅有标题、引用的或适用的法律法规、标准(方法)或其他规范性文件错误等情况。</w:t>
            </w:r>
          </w:p>
        </w:tc>
        <w:tc>
          <w:tcPr>
            <w:tcW w:w="790" w:type="dxa"/>
            <w:noWrap w:val="0"/>
            <w:vAlign w:val="center"/>
          </w:tcPr>
          <w:p w14:paraId="49FA0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8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共同评分因 素</w:t>
            </w:r>
          </w:p>
        </w:tc>
      </w:tr>
    </w:tbl>
    <w:p w14:paraId="2C637879"/>
    <w:p w14:paraId="7FF6C5C3">
      <w:pPr>
        <w:rPr>
          <w:rFonts w:hint="eastAsia" w:ascii="宋体" w:hAnsi="宋体" w:eastAsia="宋体" w:cs="宋体"/>
          <w:sz w:val="24"/>
          <w:szCs w:val="24"/>
        </w:rPr>
      </w:pPr>
    </w:p>
    <w:p w14:paraId="4FBDFE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426DB7"/>
    <w:multiLevelType w:val="singleLevel"/>
    <w:tmpl w:val="9F426D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569A5"/>
    <w:rsid w:val="0F9B1521"/>
    <w:rsid w:val="2BF27D45"/>
    <w:rsid w:val="30EC48CC"/>
    <w:rsid w:val="3F6560CA"/>
    <w:rsid w:val="6E8E1376"/>
    <w:rsid w:val="70BB0B0A"/>
    <w:rsid w:val="7835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宋体" w:hAnsi="宋体"/>
      <w:sz w:val="30"/>
    </w:rPr>
  </w:style>
  <w:style w:type="paragraph" w:styleId="3">
    <w:name w:val="Body Text First Indent"/>
    <w:basedOn w:val="2"/>
    <w:unhideWhenUsed/>
    <w:qFormat/>
    <w:uiPriority w:val="99"/>
    <w:pPr>
      <w:spacing w:after="120"/>
      <w:ind w:rightChars="0" w:firstLine="420" w:firstLineChars="100"/>
      <w:jc w:val="both"/>
    </w:pPr>
    <w:rPr>
      <w:rFonts w:eastAsia="宋体"/>
      <w:kern w:val="0"/>
      <w:sz w:val="20"/>
      <w:lang w:val="en-US" w:eastAsia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1224</Words>
  <Characters>1546</Characters>
  <Lines>0</Lines>
  <Paragraphs>0</Paragraphs>
  <TotalTime>0</TotalTime>
  <ScaleCrop>false</ScaleCrop>
  <LinksUpToDate>false</LinksUpToDate>
  <CharactersWithSpaces>1561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2025-03-24T06:54:00Z</dcterms:created>
  <dc:creator> 梅瑰</dc:creator>
  <cp:lastModifiedBy> 梅瑰</cp:lastModifiedBy>
  <dcterms:modified xsi:type="dcterms:W3CDTF">2025-03-24T10:52:43Z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BE058656BDF644DCA9A62417553421DC_11</vt:lpwstr>
  </property>
  <property fmtid="{D5CDD505-2E9C-101B-9397-08002B2CF9AE}" pid="4" name="KSOTemplateDocerSaveRecord">
    <vt:lpwstr>eyJoZGlkIjoiY2RkZjhkNmYxMjYxMDFmZWU5MjQ4OWEwNGJhNDU1ZjIiLCJ1c2VySWQiOiI2MjY3MzgwNDYifQ==</vt:lpwstr>
  </property>
</Properties>
</file>